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09BDE" w14:textId="1FFCFE53" w:rsidR="00E472DA" w:rsidRPr="00667650" w:rsidRDefault="00E472DA" w:rsidP="00667650">
      <w:pPr>
        <w:pStyle w:val="Didascalia"/>
        <w:keepNext/>
        <w:ind w:left="567"/>
        <w:jc w:val="both"/>
        <w:rPr>
          <w:rFonts w:ascii="Times New Roman" w:hAnsi="Times New Roman" w:cs="Times New Roman"/>
        </w:rPr>
      </w:pPr>
      <w:r w:rsidRPr="00667650">
        <w:rPr>
          <w:rFonts w:ascii="Times New Roman" w:hAnsi="Times New Roman" w:cs="Times New Roman"/>
        </w:rPr>
        <w:t xml:space="preserve">Tabella </w:t>
      </w:r>
      <w:r w:rsidR="00195211" w:rsidRPr="00667650">
        <w:rPr>
          <w:rFonts w:ascii="Times New Roman" w:hAnsi="Times New Roman" w:cs="Times New Roman"/>
        </w:rPr>
        <w:fldChar w:fldCharType="begin"/>
      </w:r>
      <w:r w:rsidR="00195211" w:rsidRPr="00667650">
        <w:rPr>
          <w:rFonts w:ascii="Times New Roman" w:hAnsi="Times New Roman" w:cs="Times New Roman"/>
        </w:rPr>
        <w:instrText xml:space="preserve"> SEQ Tabella \* ARABIC </w:instrText>
      </w:r>
      <w:r w:rsidR="00195211" w:rsidRPr="00667650">
        <w:rPr>
          <w:rFonts w:ascii="Times New Roman" w:hAnsi="Times New Roman" w:cs="Times New Roman"/>
        </w:rPr>
        <w:fldChar w:fldCharType="separate"/>
      </w:r>
      <w:r w:rsidRPr="00667650">
        <w:rPr>
          <w:rFonts w:ascii="Times New Roman" w:hAnsi="Times New Roman" w:cs="Times New Roman"/>
          <w:noProof/>
        </w:rPr>
        <w:t>1</w:t>
      </w:r>
      <w:r w:rsidR="00195211" w:rsidRPr="00667650">
        <w:rPr>
          <w:rFonts w:ascii="Times New Roman" w:hAnsi="Times New Roman" w:cs="Times New Roman"/>
          <w:noProof/>
        </w:rPr>
        <w:fldChar w:fldCharType="end"/>
      </w:r>
      <w:r w:rsidRPr="00667650">
        <w:rPr>
          <w:rFonts w:ascii="Times New Roman" w:hAnsi="Times New Roman" w:cs="Times New Roman"/>
        </w:rPr>
        <w:t xml:space="preserve"> Riepilogo componenti </w:t>
      </w:r>
      <w:proofErr w:type="spellStart"/>
      <w:r w:rsidRPr="00667650">
        <w:rPr>
          <w:rFonts w:ascii="Times New Roman" w:hAnsi="Times New Roman" w:cs="Times New Roman"/>
        </w:rPr>
        <w:t>PDR</w:t>
      </w:r>
      <w:proofErr w:type="spellEnd"/>
      <w:r w:rsidRPr="00667650">
        <w:rPr>
          <w:rFonts w:ascii="Times New Roman" w:hAnsi="Times New Roman" w:cs="Times New Roman"/>
        </w:rPr>
        <w:t xml:space="preserve"> prima e dopo il 2016 (voci relative a variabili gestionali legate all’orari ed alle modalità di organizzazione del </w:t>
      </w:r>
      <w:proofErr w:type="gramStart"/>
      <w:r w:rsidRPr="00667650">
        <w:rPr>
          <w:rFonts w:ascii="Times New Roman" w:hAnsi="Times New Roman" w:cs="Times New Roman"/>
        </w:rPr>
        <w:t xml:space="preserve">lavoro)  </w:t>
      </w:r>
      <w:proofErr w:type="gramEnd"/>
      <w:r w:rsidR="00052C90" w:rsidRPr="00667650">
        <w:rPr>
          <w:rStyle w:val="Rimandonotaapidipagina"/>
          <w:rFonts w:ascii="Times New Roman" w:hAnsi="Times New Roman" w:cs="Times New Roman"/>
        </w:rPr>
        <w:footnoteReference w:id="1"/>
      </w:r>
    </w:p>
    <w:tbl>
      <w:tblPr>
        <w:tblStyle w:val="Grigliatabella"/>
        <w:tblpPr w:leftFromText="141" w:rightFromText="141" w:vertAnchor="page" w:horzAnchor="page" w:tblpX="1630" w:tblpY="2885"/>
        <w:tblW w:w="9634" w:type="dxa"/>
        <w:tblLook w:val="04A0" w:firstRow="1" w:lastRow="0" w:firstColumn="1" w:lastColumn="0" w:noHBand="0" w:noVBand="1"/>
      </w:tblPr>
      <w:tblGrid>
        <w:gridCol w:w="3207"/>
        <w:gridCol w:w="2142"/>
        <w:gridCol w:w="2142"/>
        <w:gridCol w:w="2143"/>
      </w:tblGrid>
      <w:tr w:rsidR="00984C55" w:rsidRPr="00667650" w14:paraId="2641ED93" w14:textId="77777777" w:rsidTr="00984C55">
        <w:tc>
          <w:tcPr>
            <w:tcW w:w="3207" w:type="dxa"/>
          </w:tcPr>
          <w:p w14:paraId="0345449C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Voci retributive – Imposta sostitutiva</w:t>
            </w:r>
          </w:p>
          <w:p w14:paraId="1365CB4C" w14:textId="77777777" w:rsidR="00984C55" w:rsidRPr="00667650" w:rsidRDefault="00984C55" w:rsidP="00984C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4334E60C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2008</w:t>
            </w:r>
          </w:p>
          <w:p w14:paraId="5F6A371E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2" w:type="dxa"/>
          </w:tcPr>
          <w:p w14:paraId="08D17529" w14:textId="77777777" w:rsidR="00984C55" w:rsidRPr="00667650" w:rsidRDefault="00984C55" w:rsidP="00984C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2009 – 2010</w:t>
            </w:r>
          </w:p>
          <w:p w14:paraId="668851A7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3" w:type="dxa"/>
          </w:tcPr>
          <w:p w14:paraId="16B15082" w14:textId="77777777" w:rsidR="00984C55" w:rsidRPr="00667650" w:rsidRDefault="00984C55" w:rsidP="00984C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 ad oggi</w:t>
            </w:r>
          </w:p>
          <w:p w14:paraId="2B6A40BA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84C55" w:rsidRPr="00667650" w14:paraId="7BBAFD54" w14:textId="77777777" w:rsidTr="00984C55">
        <w:tc>
          <w:tcPr>
            <w:tcW w:w="3207" w:type="dxa"/>
          </w:tcPr>
          <w:p w14:paraId="4A43D740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ALTRE VOCI RETRIBUTIVE</w:t>
            </w:r>
          </w:p>
          <w:p w14:paraId="27A58A98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7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Gli importi corrisposti a titolo di </w:t>
            </w:r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Elemento Economico Territoriale </w:t>
            </w:r>
            <w:r w:rsidRPr="00667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(Vedi</w:t>
            </w:r>
          </w:p>
          <w:p w14:paraId="14C2A29E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7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Circolare n. 59/2008, punto 11)</w:t>
            </w:r>
          </w:p>
          <w:p w14:paraId="09E5401F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7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 le </w:t>
            </w:r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Ferie e i permessi pagati </w:t>
            </w:r>
            <w:r w:rsidRPr="00667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(per </w:t>
            </w:r>
            <w:proofErr w:type="spellStart"/>
            <w:r w:rsidRPr="00667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R.O.L</w:t>
            </w:r>
            <w:proofErr w:type="spellEnd"/>
            <w:r w:rsidRPr="00667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residui o per periodi di ferie e permessi non fruiti entro i limiti previsti dalla legge)</w:t>
            </w:r>
          </w:p>
          <w:p w14:paraId="3AD9ABFF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7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Si evidenzia che il regime fiscale agevolato trova applicazione anche quando la liquidazione dei </w:t>
            </w:r>
            <w:proofErr w:type="spellStart"/>
            <w:r w:rsidRPr="00667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R.O.L</w:t>
            </w:r>
            <w:proofErr w:type="spellEnd"/>
            <w:r w:rsidRPr="00667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avviene su base periodica in virtù di disposizioni della contrattazione collettiva, oltre che nei casi di esplicita richiesta del lavoratore, sempre che quest’ultima ipotesi sia contemplata dalla Contrattazione collettiva applicata</w:t>
            </w:r>
          </w:p>
          <w:p w14:paraId="4BA81B18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14:paraId="0B24502C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SI</w:t>
            </w:r>
          </w:p>
          <w:p w14:paraId="0B246368" w14:textId="20E24F5F" w:rsidR="00984C55" w:rsidRPr="00667650" w:rsidRDefault="00984C55" w:rsidP="00984C55">
            <w:pPr>
              <w:rPr>
                <w:rFonts w:ascii="Times New Roman" w:hAnsi="Times New Roman" w:cs="Times New Roman"/>
              </w:rPr>
            </w:pPr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se</w:t>
            </w:r>
            <w:proofErr w:type="gramEnd"/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riconducibile ad incrementi di produttività</w:t>
            </w:r>
          </w:p>
        </w:tc>
        <w:tc>
          <w:tcPr>
            <w:tcW w:w="2142" w:type="dxa"/>
          </w:tcPr>
          <w:p w14:paraId="0E0641D5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SI</w:t>
            </w:r>
          </w:p>
          <w:p w14:paraId="211852EF" w14:textId="77777777" w:rsidR="00984C55" w:rsidRPr="00667650" w:rsidRDefault="00984C55" w:rsidP="00984C55">
            <w:pPr>
              <w:rPr>
                <w:rFonts w:ascii="Times New Roman" w:hAnsi="Times New Roman" w:cs="Times New Roman"/>
              </w:rPr>
            </w:pPr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se</w:t>
            </w:r>
            <w:proofErr w:type="gramEnd"/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riconducibile ad incrementi di produttività)</w:t>
            </w:r>
          </w:p>
          <w:p w14:paraId="3D326A66" w14:textId="77777777" w:rsidR="00984C55" w:rsidRPr="00667650" w:rsidRDefault="00984C55" w:rsidP="00984C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3" w:type="dxa"/>
          </w:tcPr>
          <w:p w14:paraId="5228A126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NO</w:t>
            </w:r>
          </w:p>
        </w:tc>
      </w:tr>
      <w:tr w:rsidR="00984C55" w:rsidRPr="00667650" w14:paraId="0F7B48F4" w14:textId="77777777" w:rsidTr="00984C55">
        <w:tc>
          <w:tcPr>
            <w:tcW w:w="3207" w:type="dxa"/>
          </w:tcPr>
          <w:p w14:paraId="4F956724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INDENNITA’ E MAGGIORAZIONI</w:t>
            </w:r>
          </w:p>
          <w:p w14:paraId="31A2B203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7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l’</w:t>
            </w:r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indennità di turno </w:t>
            </w:r>
            <w:r w:rsidRPr="00667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 comunque le maggiorazioni retributive corrisposte per lavoro normalmente prestato in base a un orario articolato su turni, stante il fatto che l’organizzazione del lavoro a turni costituisce di per sé una forma di efficienza organizzativa</w:t>
            </w:r>
          </w:p>
          <w:p w14:paraId="4993E013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7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le maggiorazioni retributive legate a orari a ciclo continuo - le maggiorazioni retributive legate a banca ore</w:t>
            </w:r>
          </w:p>
          <w:p w14:paraId="49082194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76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l’indennità di reperibilità, di disagio</w:t>
            </w:r>
          </w:p>
          <w:p w14:paraId="57FCFB16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2" w:type="dxa"/>
          </w:tcPr>
          <w:p w14:paraId="1F397068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SI</w:t>
            </w:r>
          </w:p>
          <w:p w14:paraId="799A1175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se</w:t>
            </w:r>
            <w:proofErr w:type="gramEnd"/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riconducibile ad incrementi di produttività)</w:t>
            </w:r>
          </w:p>
          <w:p w14:paraId="269CA0E1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2" w:type="dxa"/>
          </w:tcPr>
          <w:p w14:paraId="61D49674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SI</w:t>
            </w:r>
          </w:p>
          <w:p w14:paraId="339CBB41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se</w:t>
            </w:r>
            <w:proofErr w:type="gramEnd"/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riconducibile ad incrementi di produttività)</w:t>
            </w:r>
          </w:p>
          <w:p w14:paraId="1EC881A9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3" w:type="dxa"/>
          </w:tcPr>
          <w:p w14:paraId="0D22EA18" w14:textId="77777777" w:rsidR="00984C55" w:rsidRPr="00667650" w:rsidRDefault="00984C55" w:rsidP="00984C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6765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NO</w:t>
            </w:r>
          </w:p>
        </w:tc>
      </w:tr>
    </w:tbl>
    <w:p w14:paraId="56B8E3D5" w14:textId="77777777" w:rsidR="00B90E66" w:rsidRPr="00667650" w:rsidRDefault="006E0C79">
      <w:pPr>
        <w:rPr>
          <w:rFonts w:ascii="Times New Roman" w:hAnsi="Times New Roman" w:cs="Times New Roman"/>
        </w:rPr>
      </w:pPr>
      <w:bookmarkStart w:id="0" w:name="_GoBack"/>
      <w:r w:rsidRPr="00667650">
        <w:rPr>
          <w:rFonts w:ascii="Times New Roman" w:hAnsi="Times New Roman" w:cs="Times New Roman"/>
          <w:noProof/>
          <w:lang w:eastAsia="it-IT"/>
        </w:rPr>
        <w:lastRenderedPageBreak/>
        <w:drawing>
          <wp:inline distT="0" distB="0" distL="0" distR="0" wp14:anchorId="0E095971" wp14:editId="17B90F95">
            <wp:extent cx="6116320" cy="541345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3715" cy="542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0E66" w:rsidRPr="00667650" w:rsidSect="00A959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F689A" w14:textId="77777777" w:rsidR="00195211" w:rsidRDefault="00195211" w:rsidP="00052C90">
      <w:r>
        <w:separator/>
      </w:r>
    </w:p>
  </w:endnote>
  <w:endnote w:type="continuationSeparator" w:id="0">
    <w:p w14:paraId="18926D3E" w14:textId="77777777" w:rsidR="00195211" w:rsidRDefault="00195211" w:rsidP="0005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ABCE4" w14:textId="77777777" w:rsidR="00195211" w:rsidRDefault="00195211" w:rsidP="00052C90">
      <w:r>
        <w:separator/>
      </w:r>
    </w:p>
  </w:footnote>
  <w:footnote w:type="continuationSeparator" w:id="0">
    <w:p w14:paraId="713D5530" w14:textId="77777777" w:rsidR="00195211" w:rsidRDefault="00195211" w:rsidP="00052C90">
      <w:r>
        <w:continuationSeparator/>
      </w:r>
    </w:p>
  </w:footnote>
  <w:footnote w:id="1">
    <w:p w14:paraId="50F3FD34" w14:textId="377FBCE2" w:rsidR="00052C90" w:rsidRPr="00667650" w:rsidRDefault="00052C90" w:rsidP="00667650">
      <w:pPr>
        <w:widowControl w:val="0"/>
        <w:autoSpaceDE w:val="0"/>
        <w:autoSpaceDN w:val="0"/>
        <w:adjustRightInd w:val="0"/>
        <w:spacing w:after="240" w:line="200" w:lineRule="atLeast"/>
        <w:jc w:val="both"/>
        <w:rPr>
          <w:rFonts w:ascii="Times New Roman" w:hAnsi="Times New Roman" w:cs="Times New Roman"/>
        </w:rPr>
      </w:pPr>
      <w:r w:rsidRPr="00667650">
        <w:rPr>
          <w:rStyle w:val="Rimandonotaapidipagina"/>
          <w:rFonts w:ascii="Times New Roman" w:hAnsi="Times New Roman" w:cs="Times New Roman"/>
        </w:rPr>
        <w:footnoteRef/>
      </w:r>
      <w:r w:rsidRPr="00667650">
        <w:rPr>
          <w:rFonts w:ascii="Times New Roman" w:hAnsi="Times New Roman" w:cs="Times New Roman"/>
        </w:rPr>
        <w:t xml:space="preserve"> </w:t>
      </w:r>
      <w:r w:rsidRPr="00667650">
        <w:rPr>
          <w:rFonts w:ascii="Times New Roman" w:hAnsi="Times New Roman" w:cs="Times New Roman"/>
          <w:sz w:val="18"/>
          <w:szCs w:val="18"/>
        </w:rPr>
        <w:t xml:space="preserve">Fonte: CORVINO Alessandro, TIRABOSCHI Michele, Incremento della produttività sul lavoro: tutte le novità per il 2011, in Guida al Lavoro 11 febbraio 2011, n. 7 rielaborate da Antonella Marsala  </w:t>
      </w:r>
    </w:p>
    <w:p w14:paraId="47B57F22" w14:textId="457EFDF0" w:rsidR="00052C90" w:rsidRDefault="00052C90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9"/>
    <w:rsid w:val="00052C90"/>
    <w:rsid w:val="00195211"/>
    <w:rsid w:val="00484D1D"/>
    <w:rsid w:val="00667650"/>
    <w:rsid w:val="006E0C79"/>
    <w:rsid w:val="00797A31"/>
    <w:rsid w:val="00984C55"/>
    <w:rsid w:val="00A95957"/>
    <w:rsid w:val="00B90E66"/>
    <w:rsid w:val="00D30D65"/>
    <w:rsid w:val="00E4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1A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4C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E472DA"/>
    <w:pPr>
      <w:spacing w:after="200"/>
    </w:pPr>
    <w:rPr>
      <w:i/>
      <w:iCs/>
      <w:color w:val="44546A" w:themeColor="text2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52C9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52C90"/>
  </w:style>
  <w:style w:type="character" w:styleId="Rimandonotaapidipagina">
    <w:name w:val="footnote reference"/>
    <w:basedOn w:val="Carpredefinitoparagrafo"/>
    <w:uiPriority w:val="99"/>
    <w:unhideWhenUsed/>
    <w:rsid w:val="00052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EBRTS</cp:lastModifiedBy>
  <cp:revision>2</cp:revision>
  <cp:lastPrinted>2018-02-25T17:41:00Z</cp:lastPrinted>
  <dcterms:created xsi:type="dcterms:W3CDTF">2018-03-19T11:00:00Z</dcterms:created>
  <dcterms:modified xsi:type="dcterms:W3CDTF">2018-03-19T11:00:00Z</dcterms:modified>
</cp:coreProperties>
</file>